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1578"/>
        <w:gridCol w:w="1451"/>
        <w:gridCol w:w="224"/>
        <w:gridCol w:w="861"/>
        <w:gridCol w:w="676"/>
        <w:gridCol w:w="20"/>
        <w:gridCol w:w="1353"/>
        <w:gridCol w:w="615"/>
        <w:gridCol w:w="582"/>
        <w:gridCol w:w="923"/>
        <w:gridCol w:w="288"/>
        <w:gridCol w:w="593"/>
        <w:gridCol w:w="482"/>
        <w:gridCol w:w="493"/>
        <w:gridCol w:w="553"/>
      </w:tblGrid>
      <w:tr w:rsidR="008E058A" w:rsidTr="008E0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:rsidR="00B04525" w:rsidRDefault="00B04525">
            <w:pPr>
              <w:rPr>
                <w:sz w:val="18"/>
                <w:szCs w:val="18"/>
              </w:rPr>
            </w:pPr>
          </w:p>
        </w:tc>
        <w:tc>
          <w:tcPr>
            <w:tcW w:w="10692" w:type="dxa"/>
            <w:gridSpan w:val="15"/>
            <w:vMerge w:val="restart"/>
            <w:shd w:val="clear" w:color="FFFFFF" w:fill="auto"/>
            <w:vAlign w:val="bottom"/>
          </w:tcPr>
          <w:p w:rsidR="00B04525" w:rsidRDefault="006710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Договор потребительского займа в ломбарде № </w:t>
            </w:r>
            <w:r w:rsidR="003E4EB9">
              <w:rPr>
                <w:b/>
                <w:sz w:val="18"/>
                <w:szCs w:val="18"/>
              </w:rPr>
              <w:t>__________</w:t>
            </w:r>
            <w:r>
              <w:rPr>
                <w:b/>
                <w:sz w:val="18"/>
                <w:szCs w:val="18"/>
              </w:rPr>
              <w:br/>
              <w:t xml:space="preserve">от </w:t>
            </w:r>
            <w:r w:rsidR="003E4EB9">
              <w:rPr>
                <w:b/>
                <w:sz w:val="18"/>
                <w:szCs w:val="18"/>
              </w:rPr>
              <w:t>_</w:t>
            </w:r>
            <w:proofErr w:type="gramStart"/>
            <w:r w:rsidR="003E4EB9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.</w:t>
            </w:r>
            <w:r w:rsidR="003E4EB9">
              <w:rPr>
                <w:b/>
                <w:sz w:val="18"/>
                <w:szCs w:val="18"/>
              </w:rPr>
              <w:t>_</w:t>
            </w:r>
            <w:proofErr w:type="gramEnd"/>
            <w:r w:rsidR="003E4EB9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.</w:t>
            </w:r>
            <w:r w:rsidR="003E4EB9">
              <w:rPr>
                <w:b/>
                <w:sz w:val="18"/>
                <w:szCs w:val="18"/>
              </w:rPr>
              <w:t>____</w:t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8E058A" w:rsidTr="008E0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:rsidR="00B04525" w:rsidRDefault="00B04525">
            <w:pPr>
              <w:rPr>
                <w:sz w:val="18"/>
                <w:szCs w:val="18"/>
              </w:rPr>
            </w:pPr>
          </w:p>
        </w:tc>
        <w:tc>
          <w:tcPr>
            <w:tcW w:w="10692" w:type="dxa"/>
            <w:gridSpan w:val="15"/>
            <w:vMerge/>
            <w:shd w:val="clear" w:color="FFFFFF" w:fill="auto"/>
            <w:vAlign w:val="bottom"/>
          </w:tcPr>
          <w:p w:rsidR="00B04525" w:rsidRDefault="00B0452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058A" w:rsidTr="008E0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:rsidR="008E058A" w:rsidRDefault="008E058A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3"/>
            <w:vMerge w:val="restart"/>
            <w:shd w:val="clear" w:color="FFFFFF" w:fill="auto"/>
          </w:tcPr>
          <w:p w:rsidR="008E058A" w:rsidRPr="008E058A" w:rsidRDefault="008E058A">
            <w:pPr>
              <w:jc w:val="both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 xml:space="preserve">ООО "ГЛ "КРЕДО ПРИОРАТ" (далее – ЛОМБАРД) передает на срочной и возмездной основе денежные средства (далее – ЗАЕМ) в размере и на условиях, предусмотренных настоящим договором (далее – «Договор потребительского займа»), гражданину ____________________________________(далее - ЗАЕМЩИК), а ЗАЕМЩИК передает ЛОМБАРДУ в залог движимое имущество (далее - ИМУЩЕСТВО) и обязуется возвратить ЗАЕМ и уплатить проценты за пользование ЗАЙМОМ, в размере, сроки и на условиях настоящего Договора потребительского  займа. По настоящему Договору не допускается начисление процентов, неустойки, иных мер </w:t>
            </w:r>
            <w:proofErr w:type="gramStart"/>
            <w:r w:rsidRPr="008E058A">
              <w:rPr>
                <w:sz w:val="12"/>
                <w:szCs w:val="12"/>
              </w:rPr>
              <w:t>ответственности, после того, как</w:t>
            </w:r>
            <w:proofErr w:type="gramEnd"/>
            <w:r w:rsidRPr="008E058A">
              <w:rPr>
                <w:sz w:val="12"/>
                <w:szCs w:val="12"/>
              </w:rPr>
              <w:t xml:space="preserve"> сумма начисленных процентов, неустойки, иных мер ответственности по настоящему Договору, достигнет двух размеров суммы предоставленного потребительского займа.</w:t>
            </w:r>
          </w:p>
          <w:p w:rsidR="008E058A" w:rsidRPr="008E058A" w:rsidRDefault="008E058A" w:rsidP="008E058A">
            <w:pPr>
              <w:rPr>
                <w:sz w:val="12"/>
                <w:szCs w:val="12"/>
              </w:rPr>
            </w:pPr>
          </w:p>
        </w:tc>
        <w:tc>
          <w:tcPr>
            <w:tcW w:w="5030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058A" w:rsidRPr="008E058A" w:rsidRDefault="008E058A" w:rsidP="008E058A">
            <w:pPr>
              <w:jc w:val="center"/>
              <w:rPr>
                <w:b/>
                <w:szCs w:val="16"/>
              </w:rPr>
            </w:pPr>
            <w:r w:rsidRPr="008E058A">
              <w:rPr>
                <w:b/>
                <w:szCs w:val="16"/>
              </w:rPr>
              <w:t>Полная стоимость потребительского займа (в процентах годовых)</w:t>
            </w:r>
          </w:p>
          <w:p w:rsidR="008E058A" w:rsidRPr="008E058A" w:rsidRDefault="008E058A">
            <w:pPr>
              <w:jc w:val="center"/>
              <w:rPr>
                <w:b/>
                <w:color w:val="FF0000"/>
                <w:szCs w:val="16"/>
              </w:rPr>
            </w:pPr>
            <w:r w:rsidRPr="008E058A">
              <w:rPr>
                <w:b/>
                <w:color w:val="FF0000"/>
                <w:szCs w:val="16"/>
              </w:rPr>
              <w:t>Зависит от суммы ссуды</w:t>
            </w:r>
          </w:p>
          <w:p w:rsidR="008E058A" w:rsidRPr="008E058A" w:rsidRDefault="008E058A" w:rsidP="003E4EB9">
            <w:pPr>
              <w:pStyle w:val="a3"/>
              <w:numPr>
                <w:ilvl w:val="0"/>
                <w:numId w:val="2"/>
              </w:numPr>
              <w:rPr>
                <w:bCs/>
                <w:szCs w:val="16"/>
              </w:rPr>
            </w:pPr>
            <w:r w:rsidRPr="008E058A">
              <w:rPr>
                <w:bCs/>
                <w:szCs w:val="16"/>
              </w:rPr>
              <w:t>до 5000,00 руб. – 142,35% годовых (0,39% в день)</w:t>
            </w:r>
          </w:p>
          <w:p w:rsidR="008E058A" w:rsidRPr="008E058A" w:rsidRDefault="008E058A" w:rsidP="003E4EB9">
            <w:pPr>
              <w:pStyle w:val="a3"/>
              <w:numPr>
                <w:ilvl w:val="0"/>
                <w:numId w:val="2"/>
              </w:numPr>
              <w:rPr>
                <w:bCs/>
                <w:szCs w:val="16"/>
              </w:rPr>
            </w:pPr>
            <w:r w:rsidRPr="008E058A">
              <w:rPr>
                <w:bCs/>
                <w:szCs w:val="16"/>
              </w:rPr>
              <w:t>5001,00-10000,00 руб. – 135,05% годовых (0,37% в день)</w:t>
            </w:r>
          </w:p>
          <w:p w:rsidR="008E058A" w:rsidRPr="008E058A" w:rsidRDefault="008E058A" w:rsidP="003E4EB9">
            <w:pPr>
              <w:pStyle w:val="a3"/>
              <w:numPr>
                <w:ilvl w:val="0"/>
                <w:numId w:val="2"/>
              </w:numPr>
              <w:rPr>
                <w:bCs/>
                <w:szCs w:val="16"/>
              </w:rPr>
            </w:pPr>
            <w:r w:rsidRPr="008E058A">
              <w:rPr>
                <w:bCs/>
                <w:szCs w:val="16"/>
              </w:rPr>
              <w:t>10001,00-50000,00 – 127,75% годовых (0,35% в день)</w:t>
            </w:r>
          </w:p>
          <w:p w:rsidR="008E058A" w:rsidRPr="008E058A" w:rsidRDefault="008E058A" w:rsidP="003E4EB9">
            <w:pPr>
              <w:pStyle w:val="a3"/>
              <w:numPr>
                <w:ilvl w:val="0"/>
                <w:numId w:val="2"/>
              </w:numPr>
              <w:rPr>
                <w:bCs/>
                <w:szCs w:val="16"/>
              </w:rPr>
            </w:pPr>
            <w:r w:rsidRPr="008E058A">
              <w:rPr>
                <w:bCs/>
                <w:szCs w:val="16"/>
              </w:rPr>
              <w:t>от 50001,00 руб. – 109,50% годовых (0,30% в день)</w:t>
            </w:r>
          </w:p>
          <w:p w:rsidR="008E058A" w:rsidRPr="008E058A" w:rsidRDefault="008E058A" w:rsidP="003E4EB9">
            <w:pPr>
              <w:pStyle w:val="a3"/>
              <w:numPr>
                <w:ilvl w:val="0"/>
                <w:numId w:val="2"/>
              </w:numPr>
              <w:rPr>
                <w:b/>
                <w:sz w:val="12"/>
                <w:szCs w:val="12"/>
              </w:rPr>
            </w:pPr>
            <w:r w:rsidRPr="008E058A">
              <w:rPr>
                <w:bCs/>
                <w:szCs w:val="16"/>
              </w:rPr>
              <w:t>Пенсионерам (при предъявлении пенсионного удостоверения) 109,50% годовых (0,30% в день) независимо от суммы ссуды</w:t>
            </w:r>
          </w:p>
        </w:tc>
        <w:tc>
          <w:tcPr>
            <w:tcW w:w="240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058A" w:rsidRDefault="008E058A">
            <w:pPr>
              <w:jc w:val="center"/>
              <w:rPr>
                <w:b/>
                <w:sz w:val="20"/>
                <w:szCs w:val="20"/>
              </w:rPr>
            </w:pPr>
            <w:r w:rsidRPr="008E058A">
              <w:rPr>
                <w:b/>
                <w:szCs w:val="16"/>
              </w:rPr>
              <w:t>Полная стоимость потребительского займа (в денежном выражении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8E058A" w:rsidTr="00440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:rsidR="008E058A" w:rsidRDefault="008E058A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3"/>
            <w:vMerge/>
            <w:shd w:val="clear" w:color="FFFFFF" w:fill="auto"/>
          </w:tcPr>
          <w:p w:rsidR="008E058A" w:rsidRPr="008E058A" w:rsidRDefault="008E058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030" w:type="dxa"/>
            <w:gridSpan w:val="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058A" w:rsidRPr="008E058A" w:rsidRDefault="008E058A" w:rsidP="003E4EB9">
            <w:pPr>
              <w:pStyle w:val="a3"/>
              <w:numPr>
                <w:ilvl w:val="0"/>
                <w:numId w:val="2"/>
              </w:numPr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058A" w:rsidRDefault="008E05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058A" w:rsidTr="00440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:rsidR="008E058A" w:rsidRDefault="008E058A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3"/>
            <w:vMerge/>
            <w:shd w:val="clear" w:color="FFFFFF" w:fill="auto"/>
          </w:tcPr>
          <w:p w:rsidR="008E058A" w:rsidRPr="008E058A" w:rsidRDefault="008E058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030" w:type="dxa"/>
            <w:gridSpan w:val="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058A" w:rsidRPr="008E058A" w:rsidRDefault="008E058A" w:rsidP="003E4EB9">
            <w:pPr>
              <w:pStyle w:val="a3"/>
              <w:numPr>
                <w:ilvl w:val="0"/>
                <w:numId w:val="2"/>
              </w:numPr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058A" w:rsidRDefault="008E05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058A" w:rsidTr="00440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:rsidR="008E058A" w:rsidRDefault="008E058A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3"/>
            <w:vMerge/>
            <w:shd w:val="clear" w:color="FFFFFF" w:fill="auto"/>
          </w:tcPr>
          <w:p w:rsidR="008E058A" w:rsidRPr="008E058A" w:rsidRDefault="008E058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030" w:type="dxa"/>
            <w:gridSpan w:val="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058A" w:rsidRPr="008E058A" w:rsidRDefault="008E058A" w:rsidP="003E4EB9">
            <w:pPr>
              <w:pStyle w:val="a3"/>
              <w:numPr>
                <w:ilvl w:val="0"/>
                <w:numId w:val="2"/>
              </w:numPr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058A" w:rsidRDefault="008E05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058A" w:rsidTr="008E0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:rsidR="008E058A" w:rsidRDefault="008E058A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3"/>
            <w:vMerge/>
            <w:shd w:val="clear" w:color="FFFFFF" w:fill="auto"/>
          </w:tcPr>
          <w:p w:rsidR="008E058A" w:rsidRPr="008E058A" w:rsidRDefault="008E058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030" w:type="dxa"/>
            <w:gridSpan w:val="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058A" w:rsidRPr="008E058A" w:rsidRDefault="008E058A" w:rsidP="003E4EB9">
            <w:pPr>
              <w:pStyle w:val="a3"/>
              <w:numPr>
                <w:ilvl w:val="0"/>
                <w:numId w:val="2"/>
              </w:numPr>
              <w:rPr>
                <w:bCs/>
                <w:sz w:val="12"/>
                <w:szCs w:val="12"/>
              </w:rPr>
            </w:pPr>
          </w:p>
        </w:tc>
        <w:tc>
          <w:tcPr>
            <w:tcW w:w="2409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058A" w:rsidRDefault="008E05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058A" w:rsidTr="008E0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1" w:type="dxa"/>
            <w:shd w:val="clear" w:color="FFFFFF" w:fill="auto"/>
            <w:vAlign w:val="bottom"/>
          </w:tcPr>
          <w:p w:rsidR="008E058A" w:rsidRDefault="008E058A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3"/>
            <w:vMerge/>
            <w:shd w:val="clear" w:color="FFFFFF" w:fill="auto"/>
          </w:tcPr>
          <w:p w:rsidR="008E058A" w:rsidRPr="008E058A" w:rsidRDefault="008E058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030" w:type="dxa"/>
            <w:gridSpan w:val="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058A" w:rsidRPr="008E058A" w:rsidRDefault="008E058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058A" w:rsidRDefault="008E05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058A" w:rsidTr="008E0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1" w:type="dxa"/>
            <w:shd w:val="clear" w:color="FFFFFF" w:fill="auto"/>
            <w:vAlign w:val="bottom"/>
          </w:tcPr>
          <w:p w:rsidR="008E058A" w:rsidRDefault="008E058A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3"/>
            <w:vMerge/>
            <w:shd w:val="clear" w:color="FFFFFF" w:fill="auto"/>
          </w:tcPr>
          <w:p w:rsidR="008E058A" w:rsidRPr="008E058A" w:rsidRDefault="008E058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030" w:type="dxa"/>
            <w:gridSpan w:val="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058A" w:rsidRPr="008E058A" w:rsidRDefault="008E058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058A" w:rsidRDefault="008E05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058A" w:rsidTr="008E0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:rsidR="008E058A" w:rsidRDefault="008E058A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3"/>
            <w:vMerge/>
            <w:shd w:val="clear" w:color="FFFFFF" w:fill="auto"/>
          </w:tcPr>
          <w:p w:rsidR="008E058A" w:rsidRPr="008E058A" w:rsidRDefault="008E058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030" w:type="dxa"/>
            <w:gridSpan w:val="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058A" w:rsidRPr="008E058A" w:rsidRDefault="008E058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058A" w:rsidRDefault="008E05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058A" w:rsidTr="00440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81" w:type="dxa"/>
            <w:shd w:val="clear" w:color="FFFFFF" w:fill="auto"/>
            <w:vAlign w:val="bottom"/>
          </w:tcPr>
          <w:p w:rsidR="008E058A" w:rsidRDefault="008E058A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3"/>
            <w:vMerge/>
            <w:shd w:val="clear" w:color="FFFFFF" w:fill="auto"/>
          </w:tcPr>
          <w:p w:rsidR="008E058A" w:rsidRPr="008E058A" w:rsidRDefault="008E058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030" w:type="dxa"/>
            <w:gridSpan w:val="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058A" w:rsidRPr="008E058A" w:rsidRDefault="008E058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058A" w:rsidRDefault="008E058A" w:rsidP="003E4EB9">
            <w:pPr>
              <w:rPr>
                <w:b/>
                <w:sz w:val="28"/>
                <w:szCs w:val="28"/>
              </w:rPr>
            </w:pPr>
          </w:p>
        </w:tc>
      </w:tr>
      <w:tr w:rsidR="008E058A" w:rsidTr="00440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" w:type="dxa"/>
            <w:shd w:val="clear" w:color="FFFFFF" w:fill="auto"/>
            <w:vAlign w:val="bottom"/>
          </w:tcPr>
          <w:p w:rsidR="008E058A" w:rsidRDefault="008E058A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3"/>
            <w:vMerge/>
            <w:shd w:val="clear" w:color="FFFFFF" w:fill="auto"/>
          </w:tcPr>
          <w:p w:rsidR="008E058A" w:rsidRPr="008E058A" w:rsidRDefault="008E058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030" w:type="dxa"/>
            <w:gridSpan w:val="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058A" w:rsidRPr="008E058A" w:rsidRDefault="008E058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058A" w:rsidRDefault="008E05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058A" w:rsidTr="00440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" w:type="dxa"/>
            <w:shd w:val="clear" w:color="FFFFFF" w:fill="auto"/>
            <w:vAlign w:val="bottom"/>
          </w:tcPr>
          <w:p w:rsidR="008E058A" w:rsidRDefault="008E058A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3"/>
            <w:vMerge/>
            <w:shd w:val="clear" w:color="FFFFFF" w:fill="auto"/>
          </w:tcPr>
          <w:p w:rsidR="008E058A" w:rsidRPr="008E058A" w:rsidRDefault="008E058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030" w:type="dxa"/>
            <w:gridSpan w:val="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058A" w:rsidRPr="008E058A" w:rsidRDefault="008E058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058A" w:rsidRDefault="008E05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058A" w:rsidTr="00440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" w:type="dxa"/>
            <w:shd w:val="clear" w:color="FFFFFF" w:fill="auto"/>
            <w:vAlign w:val="bottom"/>
          </w:tcPr>
          <w:p w:rsidR="008E058A" w:rsidRDefault="008E058A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3"/>
            <w:vMerge/>
            <w:shd w:val="clear" w:color="FFFFFF" w:fill="auto"/>
          </w:tcPr>
          <w:p w:rsidR="008E058A" w:rsidRPr="008E058A" w:rsidRDefault="008E058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030" w:type="dxa"/>
            <w:gridSpan w:val="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058A" w:rsidRPr="008E058A" w:rsidRDefault="008E058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058A" w:rsidRDefault="008E05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058A" w:rsidTr="00440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" w:type="dxa"/>
            <w:shd w:val="clear" w:color="FFFFFF" w:fill="auto"/>
            <w:vAlign w:val="bottom"/>
          </w:tcPr>
          <w:p w:rsidR="008E058A" w:rsidRDefault="008E058A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3"/>
            <w:vMerge/>
            <w:shd w:val="clear" w:color="FFFFFF" w:fill="auto"/>
          </w:tcPr>
          <w:p w:rsidR="008E058A" w:rsidRPr="008E058A" w:rsidRDefault="008E058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030" w:type="dxa"/>
            <w:gridSpan w:val="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058A" w:rsidRPr="008E058A" w:rsidRDefault="008E058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058A" w:rsidRDefault="008E05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058A" w:rsidTr="00440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" w:type="dxa"/>
            <w:shd w:val="clear" w:color="FFFFFF" w:fill="auto"/>
            <w:vAlign w:val="bottom"/>
          </w:tcPr>
          <w:p w:rsidR="008E058A" w:rsidRDefault="008E058A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3"/>
            <w:vMerge/>
            <w:shd w:val="clear" w:color="FFFFFF" w:fill="auto"/>
          </w:tcPr>
          <w:p w:rsidR="008E058A" w:rsidRPr="008E058A" w:rsidRDefault="008E058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030" w:type="dxa"/>
            <w:gridSpan w:val="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058A" w:rsidRPr="008E058A" w:rsidRDefault="008E058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058A" w:rsidRDefault="008E05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058A" w:rsidTr="00440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:rsidR="008E058A" w:rsidRDefault="008E058A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3"/>
            <w:vMerge/>
            <w:shd w:val="clear" w:color="FFFFFF" w:fill="auto"/>
          </w:tcPr>
          <w:p w:rsidR="008E058A" w:rsidRPr="008E058A" w:rsidRDefault="008E058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030" w:type="dxa"/>
            <w:gridSpan w:val="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058A" w:rsidRPr="008E058A" w:rsidRDefault="008E058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058A" w:rsidRDefault="008E05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058A" w:rsidTr="008E0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81" w:type="dxa"/>
            <w:shd w:val="clear" w:color="FFFFFF" w:fill="auto"/>
            <w:vAlign w:val="bottom"/>
          </w:tcPr>
          <w:p w:rsidR="008E058A" w:rsidRDefault="008E058A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3"/>
            <w:vMerge/>
            <w:shd w:val="clear" w:color="FFFFFF" w:fill="auto"/>
          </w:tcPr>
          <w:p w:rsidR="008E058A" w:rsidRPr="008E058A" w:rsidRDefault="008E058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030" w:type="dxa"/>
            <w:gridSpan w:val="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058A" w:rsidRPr="008E058A" w:rsidRDefault="008E058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058A" w:rsidRDefault="008E05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058A" w:rsidTr="008E0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:rsidR="00B04525" w:rsidRDefault="00B04525">
            <w:pPr>
              <w:rPr>
                <w:sz w:val="8"/>
                <w:szCs w:val="8"/>
              </w:rPr>
            </w:pPr>
          </w:p>
        </w:tc>
        <w:tc>
          <w:tcPr>
            <w:tcW w:w="1578" w:type="dxa"/>
            <w:shd w:val="clear" w:color="FFFFFF" w:fill="auto"/>
            <w:vAlign w:val="bottom"/>
          </w:tcPr>
          <w:p w:rsidR="00B04525" w:rsidRPr="008E058A" w:rsidRDefault="00B04525">
            <w:pPr>
              <w:rPr>
                <w:sz w:val="12"/>
                <w:szCs w:val="12"/>
              </w:rPr>
            </w:pPr>
          </w:p>
        </w:tc>
        <w:tc>
          <w:tcPr>
            <w:tcW w:w="1451" w:type="dxa"/>
            <w:shd w:val="clear" w:color="FFFFFF" w:fill="auto"/>
            <w:vAlign w:val="bottom"/>
          </w:tcPr>
          <w:p w:rsidR="00B04525" w:rsidRPr="008E058A" w:rsidRDefault="00B04525">
            <w:pPr>
              <w:rPr>
                <w:sz w:val="12"/>
                <w:szCs w:val="12"/>
              </w:rPr>
            </w:pPr>
          </w:p>
        </w:tc>
        <w:tc>
          <w:tcPr>
            <w:tcW w:w="1085" w:type="dxa"/>
            <w:gridSpan w:val="2"/>
            <w:shd w:val="clear" w:color="FFFFFF" w:fill="auto"/>
            <w:vAlign w:val="bottom"/>
          </w:tcPr>
          <w:p w:rsidR="00B04525" w:rsidRPr="008E058A" w:rsidRDefault="00B04525">
            <w:pPr>
              <w:rPr>
                <w:sz w:val="12"/>
                <w:szCs w:val="12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B04525" w:rsidRPr="008E058A" w:rsidRDefault="00B0452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B04525" w:rsidRPr="008E058A" w:rsidRDefault="00B04525">
            <w:pPr>
              <w:rPr>
                <w:sz w:val="12"/>
                <w:szCs w:val="12"/>
              </w:rPr>
            </w:pPr>
          </w:p>
        </w:tc>
        <w:tc>
          <w:tcPr>
            <w:tcW w:w="1353" w:type="dxa"/>
            <w:shd w:val="clear" w:color="FFFFFF" w:fill="auto"/>
            <w:vAlign w:val="bottom"/>
          </w:tcPr>
          <w:p w:rsidR="00B04525" w:rsidRPr="008E058A" w:rsidRDefault="00B04525">
            <w:pPr>
              <w:rPr>
                <w:sz w:val="12"/>
                <w:szCs w:val="12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:rsidR="00B04525" w:rsidRPr="008E058A" w:rsidRDefault="00B04525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shd w:val="clear" w:color="FFFFFF" w:fill="auto"/>
            <w:vAlign w:val="bottom"/>
          </w:tcPr>
          <w:p w:rsidR="00B04525" w:rsidRDefault="00B04525">
            <w:pPr>
              <w:rPr>
                <w:sz w:val="8"/>
                <w:szCs w:val="8"/>
              </w:rPr>
            </w:pPr>
          </w:p>
        </w:tc>
        <w:tc>
          <w:tcPr>
            <w:tcW w:w="923" w:type="dxa"/>
            <w:shd w:val="clear" w:color="FFFFFF" w:fill="auto"/>
            <w:vAlign w:val="bottom"/>
          </w:tcPr>
          <w:p w:rsidR="00B04525" w:rsidRDefault="00B04525">
            <w:pPr>
              <w:rPr>
                <w:sz w:val="8"/>
                <w:szCs w:val="8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:rsidR="00B04525" w:rsidRDefault="00B04525">
            <w:pPr>
              <w:rPr>
                <w:sz w:val="8"/>
                <w:szCs w:val="8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B04525" w:rsidRDefault="00B04525">
            <w:pPr>
              <w:rPr>
                <w:sz w:val="8"/>
                <w:szCs w:val="8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B04525" w:rsidRDefault="00B04525">
            <w:pPr>
              <w:rPr>
                <w:sz w:val="8"/>
                <w:szCs w:val="8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B04525" w:rsidRDefault="00B04525">
            <w:pPr>
              <w:rPr>
                <w:sz w:val="8"/>
                <w:szCs w:val="8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B04525" w:rsidRDefault="00B04525">
            <w:pPr>
              <w:rPr>
                <w:sz w:val="8"/>
                <w:szCs w:val="8"/>
              </w:rPr>
            </w:pPr>
          </w:p>
        </w:tc>
      </w:tr>
      <w:tr w:rsidR="008E058A" w:rsidTr="008E0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:rsidR="00B04525" w:rsidRDefault="00B04525">
            <w:pPr>
              <w:rPr>
                <w:sz w:val="18"/>
                <w:szCs w:val="18"/>
              </w:rPr>
            </w:pPr>
          </w:p>
        </w:tc>
        <w:tc>
          <w:tcPr>
            <w:tcW w:w="1069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525" w:rsidRPr="008E058A" w:rsidRDefault="00671053">
            <w:pPr>
              <w:jc w:val="center"/>
              <w:rPr>
                <w:b/>
                <w:sz w:val="12"/>
                <w:szCs w:val="12"/>
              </w:rPr>
            </w:pPr>
            <w:r w:rsidRPr="008E058A">
              <w:rPr>
                <w:b/>
                <w:sz w:val="12"/>
                <w:szCs w:val="12"/>
              </w:rPr>
              <w:t>Индивидуальные условия договора потребительского займа</w:t>
            </w:r>
          </w:p>
        </w:tc>
      </w:tr>
      <w:tr w:rsidR="003E4EB9" w:rsidTr="008E0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:rsidR="00B04525" w:rsidRDefault="00B04525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525" w:rsidRPr="008E058A" w:rsidRDefault="00671053">
            <w:pPr>
              <w:jc w:val="center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№ п/п</w:t>
            </w:r>
          </w:p>
        </w:tc>
        <w:tc>
          <w:tcPr>
            <w:tcW w:w="52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525" w:rsidRPr="008E058A" w:rsidRDefault="00671053">
            <w:pPr>
              <w:jc w:val="center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Условие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525" w:rsidRPr="008E058A" w:rsidRDefault="00671053">
            <w:pPr>
              <w:jc w:val="center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Содержание условия</w:t>
            </w:r>
          </w:p>
        </w:tc>
      </w:tr>
      <w:tr w:rsidR="003E4EB9" w:rsidTr="008E0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:rsidR="00B04525" w:rsidRDefault="00B04525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525" w:rsidRPr="008E058A" w:rsidRDefault="00671053">
            <w:pPr>
              <w:jc w:val="center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1</w:t>
            </w:r>
          </w:p>
        </w:tc>
        <w:tc>
          <w:tcPr>
            <w:tcW w:w="52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525" w:rsidRPr="008E058A" w:rsidRDefault="00671053">
            <w:pPr>
              <w:jc w:val="both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Сумма займа или лимит кредитования и порядок его изменения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525" w:rsidRPr="008E058A" w:rsidRDefault="003E4EB9">
            <w:pPr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____________</w:t>
            </w:r>
            <w:r w:rsidR="00671053" w:rsidRPr="008E058A">
              <w:rPr>
                <w:sz w:val="12"/>
                <w:szCs w:val="12"/>
              </w:rPr>
              <w:t xml:space="preserve"> руб. 00 коп.</w:t>
            </w:r>
          </w:p>
        </w:tc>
      </w:tr>
      <w:tr w:rsidR="003E4EB9" w:rsidTr="008E0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:rsidR="00B04525" w:rsidRDefault="00B04525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525" w:rsidRPr="008E058A" w:rsidRDefault="00671053">
            <w:pPr>
              <w:jc w:val="center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2</w:t>
            </w:r>
          </w:p>
        </w:tc>
        <w:tc>
          <w:tcPr>
            <w:tcW w:w="52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525" w:rsidRPr="008E058A" w:rsidRDefault="00671053">
            <w:pPr>
              <w:jc w:val="both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Срок действия договора, срок возврата займа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525" w:rsidRPr="008E058A" w:rsidRDefault="00671053">
            <w:pPr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 xml:space="preserve">30 календарных дней, дата возврата займа </w:t>
            </w:r>
            <w:r w:rsidR="003E4EB9" w:rsidRPr="008E058A">
              <w:rPr>
                <w:sz w:val="12"/>
                <w:szCs w:val="12"/>
              </w:rPr>
              <w:t>_</w:t>
            </w:r>
            <w:proofErr w:type="gramStart"/>
            <w:r w:rsidR="003E4EB9" w:rsidRPr="008E058A">
              <w:rPr>
                <w:sz w:val="12"/>
                <w:szCs w:val="12"/>
              </w:rPr>
              <w:t>_</w:t>
            </w:r>
            <w:r w:rsidRPr="008E058A">
              <w:rPr>
                <w:sz w:val="12"/>
                <w:szCs w:val="12"/>
              </w:rPr>
              <w:t>.</w:t>
            </w:r>
            <w:r w:rsidR="003E4EB9" w:rsidRPr="008E058A">
              <w:rPr>
                <w:sz w:val="12"/>
                <w:szCs w:val="12"/>
              </w:rPr>
              <w:t>_</w:t>
            </w:r>
            <w:proofErr w:type="gramEnd"/>
            <w:r w:rsidR="003E4EB9" w:rsidRPr="008E058A">
              <w:rPr>
                <w:sz w:val="12"/>
                <w:szCs w:val="12"/>
              </w:rPr>
              <w:t>_</w:t>
            </w:r>
            <w:r w:rsidRPr="008E058A">
              <w:rPr>
                <w:sz w:val="12"/>
                <w:szCs w:val="12"/>
              </w:rPr>
              <w:t>.</w:t>
            </w:r>
            <w:r w:rsidR="003E4EB9" w:rsidRPr="008E058A">
              <w:rPr>
                <w:sz w:val="12"/>
                <w:szCs w:val="12"/>
              </w:rPr>
              <w:t>____</w:t>
            </w:r>
            <w:r w:rsidRPr="008E058A">
              <w:rPr>
                <w:sz w:val="12"/>
                <w:szCs w:val="12"/>
              </w:rPr>
              <w:t>. Договор действует до полного исполнения ЗАЕМЩИКОМ обязательств по договору ЗАЙМА.</w:t>
            </w:r>
          </w:p>
        </w:tc>
      </w:tr>
      <w:tr w:rsidR="003E4EB9" w:rsidTr="008E0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:rsidR="00B04525" w:rsidRDefault="00B04525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525" w:rsidRPr="008E058A" w:rsidRDefault="00671053">
            <w:pPr>
              <w:jc w:val="center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3</w:t>
            </w:r>
          </w:p>
        </w:tc>
        <w:tc>
          <w:tcPr>
            <w:tcW w:w="52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525" w:rsidRPr="008E058A" w:rsidRDefault="00671053">
            <w:pPr>
              <w:jc w:val="both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Валюта, в которой предоставляется заем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525" w:rsidRPr="008E058A" w:rsidRDefault="00671053">
            <w:pPr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Российский рубль</w:t>
            </w:r>
          </w:p>
        </w:tc>
      </w:tr>
      <w:tr w:rsidR="003E4EB9" w:rsidTr="008E0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:rsidR="00B04525" w:rsidRDefault="00B04525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525" w:rsidRPr="008E058A" w:rsidRDefault="00671053">
            <w:pPr>
              <w:jc w:val="center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4</w:t>
            </w:r>
          </w:p>
        </w:tc>
        <w:tc>
          <w:tcPr>
            <w:tcW w:w="52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525" w:rsidRPr="008E058A" w:rsidRDefault="00671053">
            <w:pPr>
              <w:jc w:val="both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Процентная ставка (процентные ставки) (в процентах годовых) или порядок ее (их) определения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525" w:rsidRPr="008E058A" w:rsidRDefault="003E4EB9">
            <w:pPr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____</w:t>
            </w:r>
            <w:r w:rsidR="00671053" w:rsidRPr="008E058A">
              <w:rPr>
                <w:sz w:val="12"/>
                <w:szCs w:val="12"/>
              </w:rPr>
              <w:t>% годовых</w:t>
            </w:r>
          </w:p>
        </w:tc>
      </w:tr>
      <w:tr w:rsidR="003E4EB9" w:rsidTr="008E0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:rsidR="00B04525" w:rsidRDefault="00B04525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525" w:rsidRPr="008E058A" w:rsidRDefault="00671053">
            <w:pPr>
              <w:jc w:val="center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5</w:t>
            </w:r>
          </w:p>
        </w:tc>
        <w:tc>
          <w:tcPr>
            <w:tcW w:w="52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525" w:rsidRPr="008E058A" w:rsidRDefault="00671053">
            <w:pPr>
              <w:jc w:val="both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Порядок определения курса иностранной валюты при переводе денежных средств ломбардом третьему лицу, указанному заемщиком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525" w:rsidRPr="008E058A" w:rsidRDefault="00671053">
            <w:pPr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Не применимо</w:t>
            </w:r>
          </w:p>
        </w:tc>
      </w:tr>
      <w:tr w:rsidR="003E4EB9" w:rsidTr="008E0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:rsidR="00B04525" w:rsidRDefault="00B04525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525" w:rsidRPr="008E058A" w:rsidRDefault="00671053">
            <w:pPr>
              <w:jc w:val="center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5.1</w:t>
            </w:r>
          </w:p>
        </w:tc>
        <w:tc>
          <w:tcPr>
            <w:tcW w:w="52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525" w:rsidRPr="008E058A" w:rsidRDefault="00671053">
            <w:pPr>
              <w:jc w:val="both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Ука</w:t>
            </w:r>
            <w:r w:rsidRPr="008E058A">
              <w:rPr>
                <w:sz w:val="12"/>
                <w:szCs w:val="12"/>
              </w:rPr>
              <w:t xml:space="preserve">зание на изменение суммы расходов заемщика </w:t>
            </w:r>
            <w:proofErr w:type="gramStart"/>
            <w:r w:rsidRPr="008E058A">
              <w:rPr>
                <w:sz w:val="12"/>
                <w:szCs w:val="12"/>
              </w:rPr>
              <w:t>при увеличении</w:t>
            </w:r>
            <w:proofErr w:type="gramEnd"/>
            <w:r w:rsidRPr="008E058A">
              <w:rPr>
                <w:sz w:val="12"/>
                <w:szCs w:val="12"/>
              </w:rPr>
              <w:t xml:space="preserve"> используемой в договоре потребительского займа переменной процентной ставки потребительского займа на один процентный пункт начиная со второго очередного платежа на ближайшую дату после предполагаем</w:t>
            </w:r>
            <w:r w:rsidRPr="008E058A">
              <w:rPr>
                <w:sz w:val="12"/>
                <w:szCs w:val="12"/>
              </w:rPr>
              <w:t>ой даты заключения договора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525" w:rsidRPr="008E058A" w:rsidRDefault="00671053">
            <w:pPr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Не применимо</w:t>
            </w:r>
          </w:p>
        </w:tc>
      </w:tr>
      <w:tr w:rsidR="003E4EB9" w:rsidTr="008E0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:rsidR="00B04525" w:rsidRDefault="00B04525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525" w:rsidRPr="008E058A" w:rsidRDefault="00671053">
            <w:pPr>
              <w:jc w:val="center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6</w:t>
            </w:r>
          </w:p>
        </w:tc>
        <w:tc>
          <w:tcPr>
            <w:tcW w:w="52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525" w:rsidRPr="008E058A" w:rsidRDefault="00671053">
            <w:pPr>
              <w:jc w:val="both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Количество, размер и периодичность (сроки) платежей заемщика по договору или порядок определения этих платежей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525" w:rsidRPr="008E058A" w:rsidRDefault="00671053">
            <w:pPr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 xml:space="preserve">Сумма платежа </w:t>
            </w:r>
          </w:p>
        </w:tc>
      </w:tr>
      <w:tr w:rsidR="003E4EB9" w:rsidTr="008E0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:rsidR="00B04525" w:rsidRDefault="00B04525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525" w:rsidRPr="008E058A" w:rsidRDefault="00671053">
            <w:pPr>
              <w:jc w:val="center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7</w:t>
            </w:r>
          </w:p>
        </w:tc>
        <w:tc>
          <w:tcPr>
            <w:tcW w:w="52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525" w:rsidRPr="008E058A" w:rsidRDefault="00671053">
            <w:pPr>
              <w:jc w:val="both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 xml:space="preserve">Порядок изменения количества, размера и </w:t>
            </w:r>
            <w:r w:rsidRPr="008E058A">
              <w:rPr>
                <w:sz w:val="12"/>
                <w:szCs w:val="12"/>
              </w:rPr>
              <w:t>периодичности (сроков) платежей заемщика при частичном досрочном возврате займа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525" w:rsidRPr="008E058A" w:rsidRDefault="00671053">
            <w:pPr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При досрочном погашении займа, заемщик оплачивает проценты за фактический срок пользования займом.</w:t>
            </w:r>
          </w:p>
        </w:tc>
      </w:tr>
      <w:tr w:rsidR="003E4EB9" w:rsidTr="008E0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:rsidR="00B04525" w:rsidRDefault="00B04525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525" w:rsidRPr="008E058A" w:rsidRDefault="00671053">
            <w:pPr>
              <w:jc w:val="center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8</w:t>
            </w:r>
          </w:p>
        </w:tc>
        <w:tc>
          <w:tcPr>
            <w:tcW w:w="52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525" w:rsidRPr="008E058A" w:rsidRDefault="00671053">
            <w:pPr>
              <w:jc w:val="both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Способы исполнения заемщиком обязательств по договору по месту нахождения</w:t>
            </w:r>
            <w:r w:rsidRPr="008E058A">
              <w:rPr>
                <w:sz w:val="12"/>
                <w:szCs w:val="12"/>
              </w:rPr>
              <w:t xml:space="preserve"> заемщика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525" w:rsidRPr="008E058A" w:rsidRDefault="00671053">
            <w:pPr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Внесением наличных денежных средств, по месту заключения договора.</w:t>
            </w:r>
          </w:p>
        </w:tc>
      </w:tr>
      <w:tr w:rsidR="003E4EB9" w:rsidTr="008E0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:rsidR="00B04525" w:rsidRDefault="00B04525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525" w:rsidRPr="008E058A" w:rsidRDefault="00671053">
            <w:pPr>
              <w:jc w:val="center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8.1</w:t>
            </w:r>
          </w:p>
        </w:tc>
        <w:tc>
          <w:tcPr>
            <w:tcW w:w="52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525" w:rsidRPr="008E058A" w:rsidRDefault="00671053">
            <w:pPr>
              <w:jc w:val="both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Бесплатный способ исполнения заемщиком обязательств по договору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525" w:rsidRPr="008E058A" w:rsidRDefault="00671053">
            <w:pPr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Внесением наличных денежных средств, по месту заключения договора.</w:t>
            </w:r>
          </w:p>
        </w:tc>
      </w:tr>
      <w:tr w:rsidR="003E4EB9" w:rsidTr="008E0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:rsidR="00B04525" w:rsidRDefault="00B04525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525" w:rsidRPr="008E058A" w:rsidRDefault="00671053">
            <w:pPr>
              <w:jc w:val="center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9</w:t>
            </w:r>
          </w:p>
        </w:tc>
        <w:tc>
          <w:tcPr>
            <w:tcW w:w="52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525" w:rsidRPr="008E058A" w:rsidRDefault="00671053">
            <w:pPr>
              <w:jc w:val="both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 xml:space="preserve">Обязанность заемщика </w:t>
            </w:r>
            <w:r w:rsidRPr="008E058A">
              <w:rPr>
                <w:sz w:val="12"/>
                <w:szCs w:val="12"/>
              </w:rPr>
              <w:t>заключить иные договоры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525" w:rsidRPr="008E058A" w:rsidRDefault="00671053">
            <w:pPr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Не применимо</w:t>
            </w:r>
          </w:p>
        </w:tc>
      </w:tr>
      <w:tr w:rsidR="003E4EB9" w:rsidTr="008E0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:rsidR="00B04525" w:rsidRDefault="00B04525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525" w:rsidRPr="008E058A" w:rsidRDefault="00671053">
            <w:pPr>
              <w:jc w:val="center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10</w:t>
            </w:r>
          </w:p>
        </w:tc>
        <w:tc>
          <w:tcPr>
            <w:tcW w:w="52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525" w:rsidRPr="008E058A" w:rsidRDefault="00671053">
            <w:pPr>
              <w:jc w:val="both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Обязанность заемщика по предоставлению обеспечения исполнения обязательств по договору и требования к такому обеспечению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525" w:rsidRPr="008E058A" w:rsidRDefault="00671053">
            <w:pPr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ЗАЕМЩИК передает в залог ИМУЩЕСТВО, указанное в залоговом билете №</w:t>
            </w:r>
            <w:r w:rsidR="003E4EB9" w:rsidRPr="008E058A">
              <w:rPr>
                <w:sz w:val="12"/>
                <w:szCs w:val="12"/>
              </w:rPr>
              <w:t>________</w:t>
            </w:r>
            <w:r w:rsidRPr="008E058A">
              <w:rPr>
                <w:sz w:val="12"/>
                <w:szCs w:val="12"/>
              </w:rPr>
              <w:t xml:space="preserve">. </w:t>
            </w:r>
            <w:r w:rsidRPr="008E058A">
              <w:rPr>
                <w:sz w:val="12"/>
                <w:szCs w:val="12"/>
              </w:rPr>
              <w:t xml:space="preserve">ИМУЩЕСТВО принадлежит ему на праве собственности, на момент передачи в ЛОМБАРД </w:t>
            </w:r>
            <w:proofErr w:type="gramStart"/>
            <w:r w:rsidRPr="008E058A">
              <w:rPr>
                <w:sz w:val="12"/>
                <w:szCs w:val="12"/>
              </w:rPr>
              <w:t>не  находится</w:t>
            </w:r>
            <w:proofErr w:type="gramEnd"/>
            <w:r w:rsidRPr="008E058A">
              <w:rPr>
                <w:sz w:val="12"/>
                <w:szCs w:val="12"/>
              </w:rPr>
              <w:t xml:space="preserve"> в залоге, предназначено для личного потребления.</w:t>
            </w:r>
            <w:r w:rsidRPr="008E058A">
              <w:rPr>
                <w:sz w:val="12"/>
                <w:szCs w:val="12"/>
              </w:rPr>
              <w:br/>
            </w:r>
          </w:p>
        </w:tc>
      </w:tr>
      <w:tr w:rsidR="003E4EB9" w:rsidTr="008E0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:rsidR="00B04525" w:rsidRDefault="00B04525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525" w:rsidRPr="008E058A" w:rsidRDefault="00671053">
            <w:pPr>
              <w:jc w:val="center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11</w:t>
            </w:r>
          </w:p>
        </w:tc>
        <w:tc>
          <w:tcPr>
            <w:tcW w:w="52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525" w:rsidRPr="008E058A" w:rsidRDefault="00671053">
            <w:pPr>
              <w:jc w:val="both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Цели использования заемщиком потребительского займа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525" w:rsidRPr="008E058A" w:rsidRDefault="00671053">
            <w:pPr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На личные цели</w:t>
            </w:r>
          </w:p>
        </w:tc>
      </w:tr>
      <w:tr w:rsidR="003E4EB9" w:rsidTr="008E0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:rsidR="00B04525" w:rsidRDefault="00B04525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525" w:rsidRPr="008E058A" w:rsidRDefault="00671053">
            <w:pPr>
              <w:jc w:val="center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12</w:t>
            </w:r>
          </w:p>
        </w:tc>
        <w:tc>
          <w:tcPr>
            <w:tcW w:w="52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525" w:rsidRPr="008E058A" w:rsidRDefault="00671053">
            <w:pPr>
              <w:jc w:val="both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Ответственность заемщика за ненадлеж</w:t>
            </w:r>
            <w:r w:rsidRPr="008E058A">
              <w:rPr>
                <w:sz w:val="12"/>
                <w:szCs w:val="12"/>
              </w:rPr>
              <w:t>ащее исполнение условий договора, размер неустойки (штрафа, пени) или порядок их определения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525" w:rsidRPr="008E058A" w:rsidRDefault="00671053">
            <w:pPr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Отсутствует</w:t>
            </w:r>
          </w:p>
        </w:tc>
      </w:tr>
      <w:tr w:rsidR="003E4EB9" w:rsidTr="008E0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:rsidR="00B04525" w:rsidRDefault="00B04525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525" w:rsidRPr="008E058A" w:rsidRDefault="00671053">
            <w:pPr>
              <w:jc w:val="center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13</w:t>
            </w:r>
          </w:p>
        </w:tc>
        <w:tc>
          <w:tcPr>
            <w:tcW w:w="52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525" w:rsidRPr="008E058A" w:rsidRDefault="00671053">
            <w:pPr>
              <w:jc w:val="both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Условие об уступке ломбардом третьим лицам прав (требований) по договору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525" w:rsidRPr="008E058A" w:rsidRDefault="00671053">
            <w:pPr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Займодавец не уступает требование по договору займа третьим лицам.</w:t>
            </w:r>
          </w:p>
        </w:tc>
      </w:tr>
      <w:tr w:rsidR="003E4EB9" w:rsidTr="008E0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:rsidR="00B04525" w:rsidRDefault="00B04525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525" w:rsidRPr="008E058A" w:rsidRDefault="00671053">
            <w:pPr>
              <w:jc w:val="center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14</w:t>
            </w:r>
          </w:p>
        </w:tc>
        <w:tc>
          <w:tcPr>
            <w:tcW w:w="52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525" w:rsidRPr="008E058A" w:rsidRDefault="00671053">
            <w:pPr>
              <w:jc w:val="both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Согласие заемщика с общими условиями договора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525" w:rsidRPr="008E058A" w:rsidRDefault="00671053">
            <w:pPr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Заемщик ознакомлен и согласен с общими условиями договора потребительского займа</w:t>
            </w:r>
          </w:p>
        </w:tc>
      </w:tr>
      <w:tr w:rsidR="003E4EB9" w:rsidTr="008E0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:rsidR="00B04525" w:rsidRDefault="00B04525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525" w:rsidRPr="008E058A" w:rsidRDefault="00671053">
            <w:pPr>
              <w:jc w:val="center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15</w:t>
            </w:r>
          </w:p>
        </w:tc>
        <w:tc>
          <w:tcPr>
            <w:tcW w:w="52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525" w:rsidRPr="008E058A" w:rsidRDefault="00671053">
            <w:pPr>
              <w:jc w:val="both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 xml:space="preserve">Услуги, оказываемые кредитором заемщику за отдельную плату и необходимые для заключения договора, их цена или порядок ее </w:t>
            </w:r>
            <w:r w:rsidRPr="008E058A">
              <w:rPr>
                <w:sz w:val="12"/>
                <w:szCs w:val="12"/>
              </w:rPr>
              <w:t>определения, а также согласие заемщика на оказание таких услуг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525" w:rsidRPr="008E058A" w:rsidRDefault="00671053">
            <w:pPr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Не применимо</w:t>
            </w:r>
          </w:p>
        </w:tc>
      </w:tr>
      <w:tr w:rsidR="003E4EB9" w:rsidTr="008E0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:rsidR="00B04525" w:rsidRDefault="00B04525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525" w:rsidRPr="008E058A" w:rsidRDefault="00671053">
            <w:pPr>
              <w:jc w:val="center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16</w:t>
            </w:r>
          </w:p>
        </w:tc>
        <w:tc>
          <w:tcPr>
            <w:tcW w:w="52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525" w:rsidRPr="008E058A" w:rsidRDefault="00671053">
            <w:pPr>
              <w:jc w:val="both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Способ обмена информацией между ломбардом и заемщиком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525" w:rsidRPr="008E058A" w:rsidRDefault="00671053">
            <w:pPr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 xml:space="preserve">Обмен информацией между ломбардом и заемщиком осуществляется </w:t>
            </w:r>
            <w:proofErr w:type="gramStart"/>
            <w:r w:rsidRPr="008E058A">
              <w:rPr>
                <w:sz w:val="12"/>
                <w:szCs w:val="12"/>
              </w:rPr>
              <w:t>посредством  направления</w:t>
            </w:r>
            <w:proofErr w:type="gramEnd"/>
            <w:r w:rsidRPr="008E058A">
              <w:rPr>
                <w:sz w:val="12"/>
                <w:szCs w:val="12"/>
              </w:rPr>
              <w:t xml:space="preserve"> друг другу писем Почтой </w:t>
            </w:r>
            <w:r w:rsidRPr="008E058A">
              <w:rPr>
                <w:sz w:val="12"/>
                <w:szCs w:val="12"/>
              </w:rPr>
              <w:t>России, курьерской службой или вручением под роспись сотруднику ЛОМБАРДА</w:t>
            </w:r>
          </w:p>
        </w:tc>
      </w:tr>
      <w:tr w:rsidR="008E058A" w:rsidTr="008E0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:rsidR="00B04525" w:rsidRDefault="00B04525">
            <w:pPr>
              <w:rPr>
                <w:szCs w:val="16"/>
              </w:rPr>
            </w:pPr>
          </w:p>
        </w:tc>
        <w:tc>
          <w:tcPr>
            <w:tcW w:w="10692" w:type="dxa"/>
            <w:gridSpan w:val="15"/>
            <w:shd w:val="clear" w:color="FFFFFF" w:fill="auto"/>
          </w:tcPr>
          <w:p w:rsidR="00B04525" w:rsidRPr="008E058A" w:rsidRDefault="00671053" w:rsidP="008E058A">
            <w:pPr>
              <w:rPr>
                <w:b/>
                <w:sz w:val="12"/>
                <w:szCs w:val="12"/>
              </w:rPr>
            </w:pPr>
            <w:r w:rsidRPr="008E058A">
              <w:rPr>
                <w:b/>
                <w:sz w:val="12"/>
                <w:szCs w:val="12"/>
              </w:rPr>
              <w:t>Общие условия договора потребительского займа</w:t>
            </w:r>
          </w:p>
        </w:tc>
      </w:tr>
      <w:tr w:rsidR="008E058A" w:rsidTr="008E0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:rsidR="00B04525" w:rsidRDefault="00B04525">
            <w:pPr>
              <w:rPr>
                <w:szCs w:val="16"/>
              </w:rPr>
            </w:pPr>
          </w:p>
        </w:tc>
        <w:tc>
          <w:tcPr>
            <w:tcW w:w="10692" w:type="dxa"/>
            <w:gridSpan w:val="15"/>
            <w:shd w:val="clear" w:color="FFFFFF" w:fill="auto"/>
            <w:vAlign w:val="bottom"/>
          </w:tcPr>
          <w:p w:rsidR="00B04525" w:rsidRPr="008E058A" w:rsidRDefault="00671053" w:rsidP="008E058A">
            <w:pPr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1.</w:t>
            </w:r>
            <w:r w:rsidRPr="008E058A">
              <w:rPr>
                <w:sz w:val="12"/>
                <w:szCs w:val="12"/>
              </w:rPr>
              <w:t>ЛОМБАРД обязуется:</w:t>
            </w:r>
            <w:r w:rsidRPr="008E058A">
              <w:rPr>
                <w:sz w:val="12"/>
                <w:szCs w:val="12"/>
              </w:rPr>
              <w:br/>
              <w:t xml:space="preserve">1.1. Обеспечить сохранность и неприкосновенность ИМУЩЕСТВА и возвратить его ЗАЕМЩИКУ после оплаты им </w:t>
            </w:r>
            <w:r w:rsidRPr="008E058A">
              <w:rPr>
                <w:sz w:val="12"/>
                <w:szCs w:val="12"/>
              </w:rPr>
              <w:t xml:space="preserve">суммы требований </w:t>
            </w:r>
            <w:proofErr w:type="gramStart"/>
            <w:r w:rsidRPr="008E058A">
              <w:rPr>
                <w:sz w:val="12"/>
                <w:szCs w:val="12"/>
              </w:rPr>
              <w:t>ЛОМБАРДА,  возникающих</w:t>
            </w:r>
            <w:proofErr w:type="gramEnd"/>
            <w:r w:rsidRPr="008E058A">
              <w:rPr>
                <w:sz w:val="12"/>
                <w:szCs w:val="12"/>
              </w:rPr>
              <w:t xml:space="preserve"> из обязательств ЗАЕМЩИКА перед ЛОМБАРДОМ по договору потребительского займа в ломбарде  (далее ТРЕБОВАНИЯ).</w:t>
            </w:r>
            <w:r w:rsidRPr="008E058A">
              <w:rPr>
                <w:sz w:val="12"/>
                <w:szCs w:val="12"/>
              </w:rPr>
              <w:br/>
              <w:t>1.2.  Застраховать риск утраты и повреждения ИМУЩЕСТВА на сумму, равную его оценке, указанной в залоговом би</w:t>
            </w:r>
            <w:r w:rsidRPr="008E058A">
              <w:rPr>
                <w:sz w:val="12"/>
                <w:szCs w:val="12"/>
              </w:rPr>
              <w:t>лете. ЗАЕМЩИК поручает ЛОМБАРДУ при наступлении страхового случая получить страховое возмещение и выплатить его ЗАЕМЩИКУ за удержанием ТРЕБОВАНИЙ ЛОМБАРДА.</w:t>
            </w:r>
            <w:r w:rsidRPr="008E058A">
              <w:rPr>
                <w:sz w:val="12"/>
                <w:szCs w:val="12"/>
              </w:rPr>
              <w:br/>
              <w:t>1.3.  Соблюдать конфиденциальность информации, полученной ЛОМБАРДОМ от ЗАЕМЩИКА.</w:t>
            </w:r>
            <w:r w:rsidRPr="008E058A">
              <w:rPr>
                <w:sz w:val="12"/>
                <w:szCs w:val="12"/>
              </w:rPr>
              <w:br/>
              <w:t>2.  ЗАЕМЩИК обязует</w:t>
            </w:r>
            <w:r w:rsidRPr="008E058A">
              <w:rPr>
                <w:sz w:val="12"/>
                <w:szCs w:val="12"/>
              </w:rPr>
              <w:t>ся:</w:t>
            </w:r>
            <w:r w:rsidRPr="008E058A">
              <w:rPr>
                <w:sz w:val="12"/>
                <w:szCs w:val="12"/>
              </w:rPr>
              <w:br/>
              <w:t>2.1. Выполнить в срок обязательства по возврату суммы ЗАЙМА, уплате процентов по нему.</w:t>
            </w:r>
            <w:r w:rsidRPr="008E058A">
              <w:rPr>
                <w:sz w:val="12"/>
                <w:szCs w:val="12"/>
              </w:rPr>
              <w:br/>
              <w:t>3. Особые условия.</w:t>
            </w:r>
            <w:r w:rsidRPr="008E058A">
              <w:rPr>
                <w:sz w:val="12"/>
                <w:szCs w:val="12"/>
              </w:rPr>
              <w:br/>
              <w:t>3.1. ЛОМБАРД несет ответственность за утрату и повреждение заложенных вещей, если не докажет, что утрата или повреждение произошли вследствие непр</w:t>
            </w:r>
            <w:r w:rsidRPr="008E058A">
              <w:rPr>
                <w:sz w:val="12"/>
                <w:szCs w:val="12"/>
              </w:rPr>
              <w:t>еодолимой силы.</w:t>
            </w:r>
            <w:r w:rsidRPr="008E058A">
              <w:rPr>
                <w:sz w:val="12"/>
                <w:szCs w:val="12"/>
              </w:rPr>
              <w:br/>
              <w:t>3.2. ЗАЕМЩИК вправе в любой рабочий день ЛОМБАРДА пога</w:t>
            </w:r>
            <w:bookmarkStart w:id="0" w:name="_GoBack"/>
            <w:bookmarkEnd w:id="0"/>
            <w:r w:rsidRPr="008E058A">
              <w:rPr>
                <w:sz w:val="12"/>
                <w:szCs w:val="12"/>
              </w:rPr>
              <w:t>сить ЗАЙМ досрочно, в том числе частями. Исчисление процентов осуществляется за время фактического пользования ЗАЙМОМ, при этом фактическим сроком считается период с момента предоставлен</w:t>
            </w:r>
            <w:r w:rsidRPr="008E058A">
              <w:rPr>
                <w:sz w:val="12"/>
                <w:szCs w:val="12"/>
              </w:rPr>
              <w:t>ия займа до даты его возврата или продажи ломбардом ИМУЩЕСТВА.</w:t>
            </w:r>
            <w:r w:rsidRPr="008E058A">
              <w:rPr>
                <w:sz w:val="12"/>
                <w:szCs w:val="12"/>
              </w:rPr>
              <w:br/>
              <w:t>3.3. В случае невозвращения в установленный срок суммы обязательств, ЛОМБАРД вправе по истечении льготного месячного срока обратить взыскание на ИМУЩЕСТВО и реализовать его. Из суммы, вырученно</w:t>
            </w:r>
            <w:r w:rsidRPr="008E058A">
              <w:rPr>
                <w:sz w:val="12"/>
                <w:szCs w:val="12"/>
              </w:rPr>
              <w:t>й при реализации ИМУЩЕСТВА, ЛОМБАРД удовлетворяет свои ТРЕБОВАНИЯ в следующем порядке: проценты за пользование займом, сумму займа.</w:t>
            </w:r>
            <w:r w:rsidRPr="008E058A">
              <w:rPr>
                <w:sz w:val="12"/>
                <w:szCs w:val="12"/>
              </w:rPr>
              <w:br/>
              <w:t>3.3.1. ЗАЕМЩИК согласен, что обращение взыскания на ИМУЩЕСТВО производится без совершения исполнительной надписи нотариуса и</w:t>
            </w:r>
            <w:r w:rsidRPr="008E058A">
              <w:rPr>
                <w:sz w:val="12"/>
                <w:szCs w:val="12"/>
              </w:rPr>
              <w:t xml:space="preserve"> без дополнительного оповещения ЗАЕМЩИКА.</w:t>
            </w:r>
            <w:r w:rsidRPr="008E058A">
              <w:rPr>
                <w:sz w:val="12"/>
                <w:szCs w:val="12"/>
              </w:rPr>
              <w:br/>
              <w:t>3.3.2. ЗАЕМЩИК вправе в любое время до продажи ИМУЩЕСТВА прекратить на него взыскания и его реализацию, исполнив обязательство по договору займа, обеспеченного залогом, выкупив ИМУЩЕСТВО.</w:t>
            </w:r>
            <w:r w:rsidRPr="008E058A">
              <w:rPr>
                <w:sz w:val="12"/>
                <w:szCs w:val="12"/>
              </w:rPr>
              <w:br/>
              <w:t>3.3.3. ЗАЕМЩИК вправе полу</w:t>
            </w:r>
            <w:r w:rsidRPr="008E058A">
              <w:rPr>
                <w:sz w:val="12"/>
                <w:szCs w:val="12"/>
              </w:rPr>
              <w:t>чить от ЛОМБАРДА разницу между вырученной при реализации суммой или суммой оценки ИМУЩЕСТВА (большей из этих величин) и суммой ТРЕБОВАНИЙ ЛОМБАРДА.</w:t>
            </w:r>
            <w:r w:rsidRPr="008E058A">
              <w:rPr>
                <w:sz w:val="12"/>
                <w:szCs w:val="12"/>
              </w:rPr>
              <w:br/>
              <w:t>4. Настоящий договор потребительского займа являются неотъемлемой частью залогового билета. Подписание ЗАЕМЩ</w:t>
            </w:r>
            <w:r w:rsidRPr="008E058A">
              <w:rPr>
                <w:sz w:val="12"/>
                <w:szCs w:val="12"/>
              </w:rPr>
              <w:t>ИКОМ залогового билета означает согласование Общих и Индивидуальных условий настоящего Договора потребительского займа.</w:t>
            </w:r>
            <w:r w:rsidRPr="008E058A">
              <w:rPr>
                <w:sz w:val="12"/>
                <w:szCs w:val="12"/>
              </w:rPr>
              <w:br/>
            </w:r>
          </w:p>
        </w:tc>
      </w:tr>
      <w:tr w:rsidR="003E4EB9" w:rsidTr="008E0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:rsidR="00B04525" w:rsidRDefault="00B04525">
            <w:pPr>
              <w:rPr>
                <w:szCs w:val="16"/>
              </w:rPr>
            </w:pPr>
          </w:p>
        </w:tc>
        <w:tc>
          <w:tcPr>
            <w:tcW w:w="6778" w:type="dxa"/>
            <w:gridSpan w:val="8"/>
            <w:shd w:val="clear" w:color="FFFFFF" w:fill="auto"/>
            <w:vAlign w:val="bottom"/>
          </w:tcPr>
          <w:p w:rsidR="00B04525" w:rsidRPr="008E058A" w:rsidRDefault="00671053">
            <w:pPr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С условиями договора потребительского займа (общими, индивидуальными, прочими), описанием и оценкой имущества согласен. Заемщик:</w:t>
            </w:r>
          </w:p>
        </w:tc>
        <w:tc>
          <w:tcPr>
            <w:tcW w:w="3914" w:type="dxa"/>
            <w:gridSpan w:val="7"/>
            <w:shd w:val="clear" w:color="FFFFFF" w:fill="auto"/>
            <w:vAlign w:val="bottom"/>
          </w:tcPr>
          <w:p w:rsidR="00B04525" w:rsidRDefault="00671053">
            <w:pPr>
              <w:rPr>
                <w:szCs w:val="16"/>
              </w:rPr>
            </w:pPr>
            <w:r>
              <w:rPr>
                <w:szCs w:val="16"/>
              </w:rPr>
              <w:t>Прие</w:t>
            </w:r>
            <w:r>
              <w:rPr>
                <w:szCs w:val="16"/>
              </w:rPr>
              <w:t>мщик:</w:t>
            </w:r>
          </w:p>
        </w:tc>
      </w:tr>
      <w:tr w:rsidR="008E058A" w:rsidTr="008E0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:rsidR="00B04525" w:rsidRDefault="00B04525">
            <w:pPr>
              <w:rPr>
                <w:szCs w:val="16"/>
              </w:rPr>
            </w:pPr>
          </w:p>
        </w:tc>
        <w:tc>
          <w:tcPr>
            <w:tcW w:w="1578" w:type="dxa"/>
            <w:shd w:val="clear" w:color="FFFFFF" w:fill="auto"/>
            <w:vAlign w:val="bottom"/>
          </w:tcPr>
          <w:p w:rsidR="00B04525" w:rsidRDefault="00671053">
            <w:pPr>
              <w:rPr>
                <w:szCs w:val="16"/>
              </w:rPr>
            </w:pPr>
            <w:r>
              <w:rPr>
                <w:szCs w:val="16"/>
              </w:rPr>
              <w:pict>
                <v:rect id="_x0000_s1027" style="position:absolute;margin-left:6pt;margin-top:0;width:14pt;height:17pt;z-index:251657216;mso-position-horizontal-relative:text;mso-position-vertical-relative:text" stroked="f" strokecolor="#615">
                  <v:fill r:id="rId5" o:title="image000" type="frame"/>
                </v:rect>
              </w:pict>
            </w:r>
          </w:p>
        </w:tc>
        <w:tc>
          <w:tcPr>
            <w:tcW w:w="5200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4525" w:rsidRDefault="00B04525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04525" w:rsidRDefault="00B04525">
            <w:pPr>
              <w:rPr>
                <w:szCs w:val="16"/>
              </w:rPr>
            </w:pPr>
          </w:p>
        </w:tc>
        <w:tc>
          <w:tcPr>
            <w:tcW w:w="2779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4525" w:rsidRDefault="00B04525">
            <w:pPr>
              <w:rPr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B04525" w:rsidRDefault="00B04525">
            <w:pPr>
              <w:rPr>
                <w:szCs w:val="16"/>
              </w:rPr>
            </w:pPr>
          </w:p>
        </w:tc>
      </w:tr>
      <w:tr w:rsidR="008E058A" w:rsidTr="008E0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:rsidR="00B04525" w:rsidRDefault="00B04525">
            <w:pPr>
              <w:rPr>
                <w:szCs w:val="16"/>
              </w:rPr>
            </w:pPr>
          </w:p>
        </w:tc>
        <w:tc>
          <w:tcPr>
            <w:tcW w:w="1578" w:type="dxa"/>
            <w:shd w:val="clear" w:color="FFFFFF" w:fill="auto"/>
            <w:vAlign w:val="bottom"/>
          </w:tcPr>
          <w:p w:rsidR="00B04525" w:rsidRDefault="00B04525">
            <w:pPr>
              <w:rPr>
                <w:szCs w:val="16"/>
              </w:rPr>
            </w:pPr>
          </w:p>
        </w:tc>
        <w:tc>
          <w:tcPr>
            <w:tcW w:w="5200" w:type="dxa"/>
            <w:gridSpan w:val="7"/>
            <w:shd w:val="clear" w:color="FFFFFF" w:fill="auto"/>
            <w:vAlign w:val="bottom"/>
          </w:tcPr>
          <w:p w:rsidR="00B04525" w:rsidRDefault="0067105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(ФИО, подпись)</w:t>
            </w:r>
          </w:p>
        </w:tc>
        <w:tc>
          <w:tcPr>
            <w:tcW w:w="582" w:type="dxa"/>
            <w:shd w:val="clear" w:color="FFFFFF" w:fill="auto"/>
            <w:vAlign w:val="bottom"/>
          </w:tcPr>
          <w:p w:rsidR="00B04525" w:rsidRDefault="00B04525">
            <w:pPr>
              <w:jc w:val="center"/>
              <w:rPr>
                <w:szCs w:val="16"/>
              </w:rPr>
            </w:pPr>
          </w:p>
        </w:tc>
        <w:tc>
          <w:tcPr>
            <w:tcW w:w="2779" w:type="dxa"/>
            <w:gridSpan w:val="5"/>
            <w:shd w:val="clear" w:color="FFFFFF" w:fill="auto"/>
            <w:vAlign w:val="bottom"/>
          </w:tcPr>
          <w:p w:rsidR="00B04525" w:rsidRDefault="0067105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(ФИО, подпись)</w:t>
            </w:r>
          </w:p>
        </w:tc>
        <w:tc>
          <w:tcPr>
            <w:tcW w:w="553" w:type="dxa"/>
            <w:shd w:val="clear" w:color="FFFFFF" w:fill="auto"/>
            <w:vAlign w:val="bottom"/>
          </w:tcPr>
          <w:p w:rsidR="00B04525" w:rsidRDefault="00B04525">
            <w:pPr>
              <w:rPr>
                <w:szCs w:val="16"/>
              </w:rPr>
            </w:pPr>
          </w:p>
        </w:tc>
      </w:tr>
    </w:tbl>
    <w:p w:rsidR="00B04525" w:rsidRDefault="00671053">
      <w:r>
        <w:br w:type="page"/>
      </w:r>
    </w:p>
    <w:sectPr w:rsidR="00B0452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F0989"/>
    <w:multiLevelType w:val="hybridMultilevel"/>
    <w:tmpl w:val="D556D758"/>
    <w:lvl w:ilvl="0" w:tplc="722A103A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B2EB3"/>
    <w:multiLevelType w:val="hybridMultilevel"/>
    <w:tmpl w:val="9FAE5014"/>
    <w:lvl w:ilvl="0" w:tplc="15826246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525"/>
    <w:rsid w:val="003E4EB9"/>
    <w:rsid w:val="00671053"/>
    <w:rsid w:val="008E058A"/>
    <w:rsid w:val="00B0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AC9A37"/>
  <w15:docId w15:val="{F01D0779-8388-483A-9B52-B27E8A24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E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2019-07-03T09:27:00Z</dcterms:created>
  <dcterms:modified xsi:type="dcterms:W3CDTF">2019-07-03T09:54:00Z</dcterms:modified>
</cp:coreProperties>
</file>